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Helvetica" w:hAnsi="Helvetica" w:cs="Helvetica"/>
          <w:sz w:val="48"/>
          <w:sz-cs w:val="48"/>
          <w:b/>
          <w:spacing w:val="0"/>
        </w:rPr>
        <w:t xml:space="preserve">Телефоны экстренных служб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Звонок на номера 101–104 и 112 бесплатный с городских и мобильных телефонов.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101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Пожарная охрана, МЧС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102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Полиция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103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Скорая медицинская помощь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104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Аварийная газовая служба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112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Единый номер экстренных служб — работает без SIM-карты и при нулевом балансе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22-20-31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Центр пропаганды пожарно-спасательного дела, г. Хабаровск, ул. Руднева, 45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Назовите адрес, что случилось, есть ли пострадавшие, и не кладите трубку первым.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